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4375"/>
        <w:gridCol w:w="4375"/>
      </w:tblGrid>
      <w:tr w:rsidR="00233B8D" w:rsidTr="00233B8D">
        <w:trPr>
          <w:trHeight w:val="2545"/>
        </w:trPr>
        <w:tc>
          <w:tcPr>
            <w:tcW w:w="4375" w:type="dxa"/>
          </w:tcPr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r w:rsidRPr="00233B8D">
              <w:rPr>
                <w:rFonts w:ascii="Baskerville" w:hAnsi="Baskerville" w:cs="Baskerville"/>
                <w:sz w:val="32"/>
                <w:szCs w:val="32"/>
              </w:rPr>
              <w:t>ETHICAL:</w:t>
            </w: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proofErr w:type="gramStart"/>
            <w:r>
              <w:rPr>
                <w:rFonts w:ascii="Baskerville" w:hAnsi="Baskerville" w:cs="Baskerville"/>
                <w:sz w:val="32"/>
                <w:szCs w:val="32"/>
              </w:rPr>
              <w:t>avoiding</w:t>
            </w:r>
            <w:proofErr w:type="gramEnd"/>
            <w:r>
              <w:rPr>
                <w:rFonts w:ascii="Baskerville" w:hAnsi="Baskerville" w:cs="Baskerville"/>
                <w:sz w:val="32"/>
                <w:szCs w:val="32"/>
              </w:rPr>
              <w:t xml:space="preserve"> activities or organizations that do harm to people or the environment</w:t>
            </w:r>
          </w:p>
        </w:tc>
        <w:tc>
          <w:tcPr>
            <w:tcW w:w="4375" w:type="dxa"/>
          </w:tcPr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r w:rsidRPr="00233B8D">
              <w:rPr>
                <w:rFonts w:ascii="Baskerville" w:hAnsi="Baskerville" w:cs="Baskerville"/>
                <w:sz w:val="32"/>
                <w:szCs w:val="32"/>
              </w:rPr>
              <w:t>PROCEDURE:</w:t>
            </w: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proofErr w:type="gramStart"/>
            <w:r>
              <w:rPr>
                <w:rFonts w:ascii="Baskerville" w:hAnsi="Baskerville" w:cs="Baskerville"/>
                <w:sz w:val="32"/>
                <w:szCs w:val="32"/>
              </w:rPr>
              <w:t>a</w:t>
            </w:r>
            <w:proofErr w:type="gramEnd"/>
            <w:r>
              <w:rPr>
                <w:rFonts w:ascii="Baskerville" w:hAnsi="Baskerville" w:cs="Baskerville"/>
                <w:sz w:val="32"/>
                <w:szCs w:val="32"/>
              </w:rPr>
              <w:t xml:space="preserve"> series of actions conducted in a certain order or manner</w:t>
            </w:r>
          </w:p>
        </w:tc>
      </w:tr>
      <w:tr w:rsidR="00233B8D" w:rsidTr="00233B8D">
        <w:trPr>
          <w:trHeight w:val="2024"/>
        </w:trPr>
        <w:tc>
          <w:tcPr>
            <w:tcW w:w="4375" w:type="dxa"/>
          </w:tcPr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r w:rsidRPr="00233B8D">
              <w:rPr>
                <w:rFonts w:ascii="Baskerville" w:hAnsi="Baskerville" w:cs="Baskerville"/>
                <w:sz w:val="32"/>
                <w:szCs w:val="32"/>
              </w:rPr>
              <w:t>CONSERVE:</w:t>
            </w: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proofErr w:type="gramStart"/>
            <w:r>
              <w:rPr>
                <w:rFonts w:ascii="Baskerville" w:hAnsi="Baskerville" w:cs="Baskerville"/>
                <w:sz w:val="32"/>
                <w:szCs w:val="32"/>
              </w:rPr>
              <w:t>prevent</w:t>
            </w:r>
            <w:proofErr w:type="gramEnd"/>
            <w:r>
              <w:rPr>
                <w:rFonts w:ascii="Baskerville" w:hAnsi="Baskerville" w:cs="Baskerville"/>
                <w:sz w:val="32"/>
                <w:szCs w:val="32"/>
              </w:rPr>
              <w:t xml:space="preserve"> the wasteful or harmful overuse of</w:t>
            </w:r>
          </w:p>
        </w:tc>
        <w:tc>
          <w:tcPr>
            <w:tcW w:w="4375" w:type="dxa"/>
          </w:tcPr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r w:rsidRPr="00233B8D">
              <w:rPr>
                <w:rFonts w:ascii="Baskerville" w:hAnsi="Baskerville" w:cs="Baskerville"/>
                <w:sz w:val="32"/>
                <w:szCs w:val="32"/>
              </w:rPr>
              <w:t>WASTE:</w:t>
            </w: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proofErr w:type="gramStart"/>
            <w:r>
              <w:rPr>
                <w:rFonts w:ascii="Baskerville" w:hAnsi="Baskerville" w:cs="Baskerville"/>
                <w:sz w:val="32"/>
                <w:szCs w:val="32"/>
              </w:rPr>
              <w:t>the</w:t>
            </w:r>
            <w:proofErr w:type="gramEnd"/>
            <w:r>
              <w:rPr>
                <w:rFonts w:ascii="Baskerville" w:hAnsi="Baskerville" w:cs="Baskerville"/>
                <w:sz w:val="32"/>
                <w:szCs w:val="32"/>
              </w:rPr>
              <w:t xml:space="preserve"> remains or byproducts of material that is not wanted</w:t>
            </w:r>
          </w:p>
        </w:tc>
      </w:tr>
      <w:tr w:rsidR="00233B8D" w:rsidTr="00233B8D">
        <w:trPr>
          <w:trHeight w:val="2545"/>
        </w:trPr>
        <w:tc>
          <w:tcPr>
            <w:tcW w:w="4375" w:type="dxa"/>
          </w:tcPr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r w:rsidRPr="00233B8D">
              <w:rPr>
                <w:rFonts w:ascii="Baskerville" w:hAnsi="Baskerville" w:cs="Baskerville"/>
                <w:sz w:val="32"/>
                <w:szCs w:val="32"/>
              </w:rPr>
              <w:t>REVISION:</w:t>
            </w: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proofErr w:type="gramStart"/>
            <w:r>
              <w:rPr>
                <w:rFonts w:ascii="Baskerville" w:hAnsi="Baskerville" w:cs="Baskerville"/>
                <w:sz w:val="32"/>
                <w:szCs w:val="32"/>
              </w:rPr>
              <w:t>r</w:t>
            </w:r>
            <w:r w:rsidRPr="00233B8D">
              <w:rPr>
                <w:rFonts w:ascii="Baskerville" w:hAnsi="Baskerville" w:cs="Baskerville"/>
                <w:sz w:val="32"/>
                <w:szCs w:val="32"/>
              </w:rPr>
              <w:t>econsider</w:t>
            </w:r>
            <w:proofErr w:type="gramEnd"/>
            <w:r w:rsidRPr="00233B8D">
              <w:rPr>
                <w:rFonts w:ascii="Baskerville" w:hAnsi="Baskerville" w:cs="Baskerville"/>
                <w:sz w:val="32"/>
                <w:szCs w:val="32"/>
              </w:rPr>
              <w:t xml:space="preserve"> in light of further evidence and alter </w:t>
            </w:r>
            <w:r>
              <w:rPr>
                <w:rFonts w:ascii="Baskerville" w:hAnsi="Baskerville" w:cs="Baskerville"/>
                <w:sz w:val="32"/>
                <w:szCs w:val="32"/>
              </w:rPr>
              <w:t>so as to make more efficient</w:t>
            </w:r>
          </w:p>
        </w:tc>
        <w:tc>
          <w:tcPr>
            <w:tcW w:w="4375" w:type="dxa"/>
          </w:tcPr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r w:rsidRPr="00233B8D">
              <w:rPr>
                <w:rFonts w:ascii="Baskerville" w:hAnsi="Baskerville" w:cs="Baskerville"/>
                <w:sz w:val="32"/>
                <w:szCs w:val="32"/>
              </w:rPr>
              <w:t>RESOURCE:</w:t>
            </w: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proofErr w:type="gramStart"/>
            <w:r>
              <w:rPr>
                <w:rFonts w:ascii="Baskerville" w:hAnsi="Baskerville" w:cs="Baskerville"/>
                <w:sz w:val="32"/>
                <w:szCs w:val="32"/>
              </w:rPr>
              <w:t>a</w:t>
            </w:r>
            <w:proofErr w:type="gramEnd"/>
            <w:r w:rsidRPr="00233B8D">
              <w:rPr>
                <w:rFonts w:ascii="Baskerville" w:hAnsi="Baskerville" w:cs="Baskerville"/>
                <w:sz w:val="32"/>
                <w:szCs w:val="32"/>
              </w:rPr>
              <w:t xml:space="preserve"> stock of something that can be used for a function</w:t>
            </w:r>
          </w:p>
        </w:tc>
      </w:tr>
      <w:tr w:rsidR="00233B8D" w:rsidTr="00233B8D">
        <w:trPr>
          <w:trHeight w:val="2545"/>
        </w:trPr>
        <w:tc>
          <w:tcPr>
            <w:tcW w:w="4375" w:type="dxa"/>
          </w:tcPr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r w:rsidRPr="00233B8D">
              <w:rPr>
                <w:rFonts w:ascii="Baskerville" w:hAnsi="Baskerville" w:cs="Baskerville"/>
                <w:sz w:val="32"/>
                <w:szCs w:val="32"/>
              </w:rPr>
              <w:t>STANDARDS:</w:t>
            </w: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proofErr w:type="gramStart"/>
            <w:r>
              <w:rPr>
                <w:rFonts w:ascii="Baskerville" w:hAnsi="Baskerville" w:cs="Baskerville"/>
                <w:sz w:val="32"/>
                <w:szCs w:val="32"/>
              </w:rPr>
              <w:t>principles</w:t>
            </w:r>
            <w:proofErr w:type="gramEnd"/>
            <w:r>
              <w:rPr>
                <w:rFonts w:ascii="Baskerville" w:hAnsi="Baskerville" w:cs="Baskerville"/>
                <w:sz w:val="32"/>
                <w:szCs w:val="32"/>
              </w:rPr>
              <w:t xml:space="preserve"> of conduct created by notions of decency and efficiency</w:t>
            </w:r>
          </w:p>
        </w:tc>
        <w:tc>
          <w:tcPr>
            <w:tcW w:w="4375" w:type="dxa"/>
          </w:tcPr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r w:rsidRPr="00233B8D">
              <w:rPr>
                <w:rFonts w:ascii="Baskerville" w:hAnsi="Baskerville" w:cs="Baskerville"/>
                <w:sz w:val="32"/>
                <w:szCs w:val="32"/>
              </w:rPr>
              <w:t>SCIENTIFIC COMMUNITY:</w:t>
            </w: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</w:p>
          <w:p w:rsidR="00233B8D" w:rsidRPr="00233B8D" w:rsidRDefault="00233B8D" w:rsidP="00233B8D">
            <w:pPr>
              <w:jc w:val="center"/>
              <w:rPr>
                <w:rFonts w:ascii="Baskerville" w:hAnsi="Baskerville" w:cs="Baskerville"/>
                <w:sz w:val="32"/>
                <w:szCs w:val="32"/>
              </w:rPr>
            </w:pPr>
            <w:proofErr w:type="gramStart"/>
            <w:r>
              <w:rPr>
                <w:rFonts w:ascii="Baskerville" w:hAnsi="Baskerville" w:cs="Baskerville"/>
                <w:sz w:val="32"/>
                <w:szCs w:val="32"/>
              </w:rPr>
              <w:t>t</w:t>
            </w:r>
            <w:r w:rsidRPr="00233B8D">
              <w:rPr>
                <w:rFonts w:ascii="Baskerville" w:hAnsi="Baskerville" w:cs="Baskerville"/>
                <w:sz w:val="32"/>
                <w:szCs w:val="32"/>
              </w:rPr>
              <w:t>he</w:t>
            </w:r>
            <w:proofErr w:type="gramEnd"/>
            <w:r w:rsidRPr="00233B8D">
              <w:rPr>
                <w:rFonts w:ascii="Baskerville" w:hAnsi="Baskerville" w:cs="Baskerville"/>
                <w:sz w:val="32"/>
                <w:szCs w:val="32"/>
              </w:rPr>
              <w:t xml:space="preserve"> group of all interacting scientists who follow an accepted scientific method</w:t>
            </w:r>
          </w:p>
        </w:tc>
      </w:tr>
    </w:tbl>
    <w:p w:rsidR="00B24E3C" w:rsidRDefault="00233B8D" w:rsidP="00233B8D">
      <w:pPr>
        <w:jc w:val="center"/>
      </w:pPr>
    </w:p>
    <w:sectPr w:rsidR="00B24E3C" w:rsidSect="0010574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33B8D"/>
    <w:rsid w:val="00233B8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33B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Louisa Torrance</cp:lastModifiedBy>
  <cp:revision>1</cp:revision>
  <dcterms:created xsi:type="dcterms:W3CDTF">2012-07-30T17:11:00Z</dcterms:created>
  <dcterms:modified xsi:type="dcterms:W3CDTF">2012-07-30T17:19:00Z</dcterms:modified>
</cp:coreProperties>
</file>